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C" w:rsidRPr="00C33ABC" w:rsidRDefault="00C33ABC" w:rsidP="00C33ABC">
      <w:pPr>
        <w:jc w:val="center"/>
        <w:rPr>
          <w:b/>
          <w:sz w:val="36"/>
        </w:rPr>
      </w:pPr>
      <w:r w:rsidRPr="00C33ABC">
        <w:rPr>
          <w:rFonts w:hint="eastAsia"/>
          <w:b/>
          <w:sz w:val="36"/>
        </w:rPr>
        <w:t>专业投资者知识评测</w:t>
      </w:r>
    </w:p>
    <w:p w:rsidR="00C33ABC" w:rsidRDefault="002F3301" w:rsidP="002F3301">
      <w:pPr>
        <w:jc w:val="center"/>
      </w:pPr>
      <w:r>
        <w:t>（每题</w:t>
      </w:r>
      <w:r>
        <w:rPr>
          <w:rFonts w:hint="eastAsia"/>
        </w:rPr>
        <w:t>5</w:t>
      </w:r>
      <w:r>
        <w:rPr>
          <w:rFonts w:hint="eastAsia"/>
        </w:rPr>
        <w:t>分，满分</w:t>
      </w:r>
      <w:r>
        <w:rPr>
          <w:rFonts w:hint="eastAsia"/>
        </w:rPr>
        <w:t>100</w:t>
      </w:r>
      <w:r>
        <w:rPr>
          <w:rFonts w:hint="eastAsia"/>
        </w:rPr>
        <w:t>分，答案只有一个正确</w:t>
      </w:r>
      <w:r>
        <w:t>）</w:t>
      </w:r>
    </w:p>
    <w:p w:rsidR="00C33ABC" w:rsidRDefault="00C33ABC" w:rsidP="00C33ABC">
      <w:r>
        <w:rPr>
          <w:rFonts w:hint="eastAsia"/>
        </w:rPr>
        <w:t>(1)</w:t>
      </w:r>
      <w:r>
        <w:rPr>
          <w:rFonts w:hint="eastAsia"/>
        </w:rPr>
        <w:t>、下述证券投资品种中，（</w:t>
      </w:r>
      <w:r>
        <w:rPr>
          <w:rFonts w:hint="eastAsia"/>
        </w:rPr>
        <w:t xml:space="preserve"> </w:t>
      </w:r>
      <w:r>
        <w:rPr>
          <w:rFonts w:hint="eastAsia"/>
        </w:rPr>
        <w:t>）的投资风险是最小的。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股票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国债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基金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股权</w:t>
      </w:r>
    </w:p>
    <w:p w:rsidR="00C33ABC" w:rsidRDefault="00C33ABC" w:rsidP="00C33ABC">
      <w:r>
        <w:rPr>
          <w:rFonts w:hint="eastAsia"/>
        </w:rPr>
        <w:t>(2)</w:t>
      </w:r>
      <w:r>
        <w:rPr>
          <w:rFonts w:hint="eastAsia"/>
        </w:rPr>
        <w:t>、风险与收益是一对形影不离的兄弟，高收益常会伴随着（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高风险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低投入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低风险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高投入</w:t>
      </w:r>
    </w:p>
    <w:p w:rsidR="00C33ABC" w:rsidRDefault="00C33ABC" w:rsidP="00C33ABC">
      <w:r>
        <w:rPr>
          <w:rFonts w:hint="eastAsia"/>
        </w:rPr>
        <w:t>(3)</w:t>
      </w:r>
      <w:r>
        <w:rPr>
          <w:rFonts w:hint="eastAsia"/>
        </w:rPr>
        <w:t>、基金资产的所有者是（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基金投资者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基金管理人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基金托管人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基金外包机构</w:t>
      </w:r>
    </w:p>
    <w:p w:rsidR="00C33ABC" w:rsidRDefault="00C33ABC" w:rsidP="00C33ABC">
      <w:r>
        <w:rPr>
          <w:rFonts w:hint="eastAsia"/>
        </w:rPr>
        <w:t>(4)</w:t>
      </w:r>
      <w:r>
        <w:rPr>
          <w:rFonts w:hint="eastAsia"/>
        </w:rPr>
        <w:t>、下列权利中，（</w:t>
      </w:r>
      <w:r>
        <w:rPr>
          <w:rFonts w:hint="eastAsia"/>
        </w:rPr>
        <w:t xml:space="preserve"> </w:t>
      </w:r>
      <w:r>
        <w:rPr>
          <w:rFonts w:hint="eastAsia"/>
        </w:rPr>
        <w:t>）是基金投资人不能行使的。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基金信息知情权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投资决策权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收益享有权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份额转让权</w:t>
      </w:r>
    </w:p>
    <w:p w:rsidR="00C33ABC" w:rsidRDefault="00C33ABC" w:rsidP="00C33ABC">
      <w:r>
        <w:rPr>
          <w:rFonts w:hint="eastAsia"/>
        </w:rPr>
        <w:t>(5)</w:t>
      </w:r>
      <w:r>
        <w:rPr>
          <w:rFonts w:hint="eastAsia"/>
        </w:rPr>
        <w:t>、基金投资损失风险由（</w:t>
      </w:r>
      <w:r>
        <w:rPr>
          <w:rFonts w:hint="eastAsia"/>
        </w:rPr>
        <w:t xml:space="preserve"> </w:t>
      </w:r>
      <w:r>
        <w:rPr>
          <w:rFonts w:hint="eastAsia"/>
        </w:rPr>
        <w:t>）承担。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基金管理人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基金托管人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基金投资人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基金监管人</w:t>
      </w:r>
    </w:p>
    <w:p w:rsidR="00C33ABC" w:rsidRDefault="00C33ABC" w:rsidP="00C33ABC">
      <w:r>
        <w:rPr>
          <w:rFonts w:hint="eastAsia"/>
        </w:rPr>
        <w:t>(6)</w:t>
      </w:r>
      <w:r>
        <w:rPr>
          <w:rFonts w:hint="eastAsia"/>
        </w:rPr>
        <w:t>、证券投资基金所筹资金主要投向（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实业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房地产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股票等金融工具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股权</w:t>
      </w:r>
    </w:p>
    <w:p w:rsidR="00C33ABC" w:rsidRDefault="00C33ABC" w:rsidP="00C33ABC">
      <w:r>
        <w:rPr>
          <w:rFonts w:hint="eastAsia"/>
        </w:rPr>
        <w:t>(7)</w:t>
      </w:r>
      <w:r>
        <w:rPr>
          <w:rFonts w:hint="eastAsia"/>
        </w:rPr>
        <w:t>、在以下基金产品类型中，投资风险最大的是（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股票基金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债券基金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货币市场基金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股权基金</w:t>
      </w:r>
    </w:p>
    <w:p w:rsidR="00C33ABC" w:rsidRDefault="00C33ABC" w:rsidP="00C33ABC">
      <w:r>
        <w:rPr>
          <w:rFonts w:hint="eastAsia"/>
        </w:rPr>
        <w:t>(8)</w:t>
      </w:r>
      <w:r>
        <w:rPr>
          <w:rFonts w:hint="eastAsia"/>
        </w:rPr>
        <w:t>、封闭式基金与开放式基金的主要区别是（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是否具有股权性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是否被监管部门严格监督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基金规模是否固定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是否可交易</w:t>
      </w:r>
    </w:p>
    <w:p w:rsidR="00C33ABC" w:rsidRDefault="00C33ABC" w:rsidP="00C33ABC">
      <w:r>
        <w:rPr>
          <w:rFonts w:hint="eastAsia"/>
        </w:rPr>
        <w:t>(9)</w:t>
      </w:r>
      <w:r>
        <w:rPr>
          <w:rFonts w:hint="eastAsia"/>
        </w:rPr>
        <w:t>、对于老年人来说，应选择货币型、（</w:t>
      </w:r>
      <w:r>
        <w:rPr>
          <w:rFonts w:hint="eastAsia"/>
        </w:rPr>
        <w:t xml:space="preserve"> </w:t>
      </w:r>
      <w:r>
        <w:rPr>
          <w:rFonts w:hint="eastAsia"/>
        </w:rPr>
        <w:t>）或股票配置比例低的平衡型基金等安全性较高的基金产品，以实现稳健、安全等目的。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保本型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积极型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成长型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进取型</w:t>
      </w:r>
    </w:p>
    <w:p w:rsidR="00C33ABC" w:rsidRDefault="00C33ABC" w:rsidP="00C33ABC">
      <w:r>
        <w:rPr>
          <w:rFonts w:hint="eastAsia"/>
        </w:rPr>
        <w:lastRenderedPageBreak/>
        <w:t>(10)</w:t>
      </w:r>
      <w:r>
        <w:rPr>
          <w:rFonts w:hint="eastAsia"/>
        </w:rPr>
        <w:t>、基金投资者获取收益的方式是获得（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利息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股息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分红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赎回</w:t>
      </w:r>
    </w:p>
    <w:p w:rsidR="00C33ABC" w:rsidRDefault="00C33ABC" w:rsidP="00C33ABC">
      <w:r>
        <w:rPr>
          <w:rFonts w:hint="eastAsia"/>
        </w:rPr>
        <w:t>(11)</w:t>
      </w:r>
      <w:r>
        <w:rPr>
          <w:rFonts w:hint="eastAsia"/>
        </w:rPr>
        <w:t>、基金的投资收益是（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波动的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固定的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保本的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增长的</w:t>
      </w:r>
    </w:p>
    <w:p w:rsidR="00C33ABC" w:rsidRDefault="00C33ABC" w:rsidP="00C33ABC">
      <w:r>
        <w:rPr>
          <w:rFonts w:hint="eastAsia"/>
        </w:rPr>
        <w:t>(12)</w:t>
      </w:r>
      <w:r>
        <w:rPr>
          <w:rFonts w:hint="eastAsia"/>
        </w:rPr>
        <w:t>、开放式基金在放开申购赎回后，基金公司应披露（</w:t>
      </w:r>
      <w:r>
        <w:rPr>
          <w:rFonts w:hint="eastAsia"/>
        </w:rPr>
        <w:t xml:space="preserve"> </w:t>
      </w:r>
      <w:r>
        <w:rPr>
          <w:rFonts w:hint="eastAsia"/>
        </w:rPr>
        <w:t>）的基金份额净值和份额累计净值。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每个开放日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每周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每月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每季度</w:t>
      </w:r>
    </w:p>
    <w:p w:rsidR="00C33ABC" w:rsidRDefault="00C33ABC" w:rsidP="00C33ABC">
      <w:r>
        <w:rPr>
          <w:rFonts w:hint="eastAsia"/>
        </w:rPr>
        <w:t>(13)</w:t>
      </w:r>
      <w:r>
        <w:rPr>
          <w:rFonts w:hint="eastAsia"/>
        </w:rPr>
        <w:t>、（</w:t>
      </w:r>
      <w:r>
        <w:rPr>
          <w:rFonts w:hint="eastAsia"/>
        </w:rPr>
        <w:t xml:space="preserve"> </w:t>
      </w:r>
      <w:r>
        <w:rPr>
          <w:rFonts w:hint="eastAsia"/>
        </w:rPr>
        <w:t>）是依法注册的由经营证券业务的金融机构组成的行业性自律组织。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证券登记公司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证券交易所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中国证券业协会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证券监督管理委员会</w:t>
      </w:r>
    </w:p>
    <w:p w:rsidR="00C33ABC" w:rsidRDefault="00C33ABC" w:rsidP="00C33ABC">
      <w:r>
        <w:rPr>
          <w:rFonts w:hint="eastAsia"/>
        </w:rPr>
        <w:t>(14)</w:t>
      </w:r>
      <w:r>
        <w:rPr>
          <w:rFonts w:hint="eastAsia"/>
        </w:rPr>
        <w:t>、</w:t>
      </w:r>
      <w:r>
        <w:rPr>
          <w:rFonts w:hint="eastAsia"/>
        </w:rPr>
        <w:t>.</w:t>
      </w:r>
      <w:r>
        <w:rPr>
          <w:rFonts w:hint="eastAsia"/>
        </w:rPr>
        <w:t>私募基金的合格投资者是指具备风险识别能力和风险承受能力，投资于单只私募基金的金额不低于（</w:t>
      </w:r>
      <w:r>
        <w:rPr>
          <w:rFonts w:hint="eastAsia"/>
        </w:rPr>
        <w:t xml:space="preserve"> </w:t>
      </w:r>
      <w:r>
        <w:rPr>
          <w:rFonts w:hint="eastAsia"/>
        </w:rPr>
        <w:t>）且符合下列相关标准的单位和个人。</w:t>
      </w:r>
    </w:p>
    <w:p w:rsidR="00C33ABC" w:rsidRDefault="00C33ABC" w:rsidP="00C33ABC">
      <w:r>
        <w:rPr>
          <w:rFonts w:hint="eastAsia"/>
        </w:rPr>
        <w:t xml:space="preserve"> A 50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B 100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C 150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D 200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>(15)</w:t>
      </w:r>
      <w:r>
        <w:rPr>
          <w:rFonts w:hint="eastAsia"/>
        </w:rPr>
        <w:t>、某投资者现已满足上题要求，下列哪项不是合格投资者的标准（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净资产不低于</w:t>
      </w:r>
      <w:r>
        <w:rPr>
          <w:rFonts w:hint="eastAsia"/>
        </w:rPr>
        <w:t>1000</w:t>
      </w:r>
      <w:r>
        <w:rPr>
          <w:rFonts w:hint="eastAsia"/>
        </w:rPr>
        <w:t>万元的单位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金融资产不低于</w:t>
      </w:r>
      <w:r>
        <w:rPr>
          <w:rFonts w:hint="eastAsia"/>
        </w:rPr>
        <w:t>200</w:t>
      </w:r>
      <w:r>
        <w:rPr>
          <w:rFonts w:hint="eastAsia"/>
        </w:rPr>
        <w:t>万元或者最近三年个人年均收入不低于</w:t>
      </w:r>
      <w:r>
        <w:rPr>
          <w:rFonts w:hint="eastAsia"/>
        </w:rPr>
        <w:t>50</w:t>
      </w:r>
      <w:r>
        <w:rPr>
          <w:rFonts w:hint="eastAsia"/>
        </w:rPr>
        <w:t>万元的个人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依法设立并在中国证券投资基金业协会备案的投资计划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投资于所管理私募基金的私募基金管理人及其从业人员</w:t>
      </w:r>
    </w:p>
    <w:p w:rsidR="00C33ABC" w:rsidRDefault="00C33ABC" w:rsidP="00C33ABC">
      <w:r>
        <w:rPr>
          <w:rFonts w:hint="eastAsia"/>
        </w:rPr>
        <w:t>(16)</w:t>
      </w:r>
      <w:r>
        <w:rPr>
          <w:rFonts w:hint="eastAsia"/>
        </w:rPr>
        <w:t>、投资者资产证明中的金融资产包括（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>I.</w:t>
      </w:r>
      <w:r>
        <w:rPr>
          <w:rFonts w:hint="eastAsia"/>
        </w:rPr>
        <w:t>银行存款</w:t>
      </w:r>
    </w:p>
    <w:p w:rsidR="00C33ABC" w:rsidRDefault="00C33ABC" w:rsidP="00C33ABC">
      <w:r>
        <w:rPr>
          <w:rFonts w:hint="eastAsia"/>
        </w:rPr>
        <w:t>II.</w:t>
      </w:r>
      <w:r>
        <w:rPr>
          <w:rFonts w:hint="eastAsia"/>
        </w:rPr>
        <w:t>保险产品</w:t>
      </w:r>
    </w:p>
    <w:p w:rsidR="00C33ABC" w:rsidRDefault="00C33ABC" w:rsidP="00C33ABC">
      <w:r>
        <w:rPr>
          <w:rFonts w:hint="eastAsia"/>
        </w:rPr>
        <w:t>III.</w:t>
      </w:r>
      <w:r>
        <w:rPr>
          <w:rFonts w:hint="eastAsia"/>
        </w:rPr>
        <w:t>信托计划</w:t>
      </w:r>
    </w:p>
    <w:p w:rsidR="00C33ABC" w:rsidRDefault="00C33ABC" w:rsidP="00C33ABC">
      <w:r>
        <w:rPr>
          <w:rFonts w:hint="eastAsia"/>
        </w:rPr>
        <w:t>IV.</w:t>
      </w:r>
      <w:r>
        <w:rPr>
          <w:rFonts w:hint="eastAsia"/>
        </w:rPr>
        <w:t>资产管理计划</w:t>
      </w:r>
    </w:p>
    <w:p w:rsidR="00C33ABC" w:rsidRDefault="00C33ABC" w:rsidP="00C33ABC">
      <w:r>
        <w:rPr>
          <w:rFonts w:hint="eastAsia"/>
        </w:rPr>
        <w:t xml:space="preserve"> A I</w:t>
      </w:r>
      <w:r>
        <w:rPr>
          <w:rFonts w:hint="eastAsia"/>
        </w:rPr>
        <w:t>、</w:t>
      </w:r>
      <w:r>
        <w:rPr>
          <w:rFonts w:hint="eastAsia"/>
        </w:rPr>
        <w:t>III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t xml:space="preserve"> B II</w:t>
      </w:r>
      <w:r>
        <w:rPr>
          <w:rFonts w:hint="eastAsia"/>
        </w:rPr>
        <w:t>、</w:t>
      </w:r>
      <w:r>
        <w:rPr>
          <w:rFonts w:hint="eastAsia"/>
        </w:rPr>
        <w:t>III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t xml:space="preserve"> C I</w:t>
      </w:r>
      <w:r>
        <w:rPr>
          <w:rFonts w:hint="eastAsia"/>
        </w:rPr>
        <w:t>、</w:t>
      </w:r>
      <w:r>
        <w:rPr>
          <w:rFonts w:hint="eastAsia"/>
        </w:rPr>
        <w:t>II</w:t>
      </w:r>
      <w:r>
        <w:rPr>
          <w:rFonts w:hint="eastAsia"/>
        </w:rPr>
        <w:t>、</w:t>
      </w:r>
      <w:r>
        <w:rPr>
          <w:rFonts w:hint="eastAsia"/>
        </w:rPr>
        <w:t>III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t xml:space="preserve"> D I</w:t>
      </w:r>
      <w:r>
        <w:rPr>
          <w:rFonts w:hint="eastAsia"/>
        </w:rPr>
        <w:t>、</w:t>
      </w:r>
      <w:r>
        <w:rPr>
          <w:rFonts w:hint="eastAsia"/>
        </w:rPr>
        <w:t>II</w:t>
      </w:r>
      <w:r>
        <w:rPr>
          <w:rFonts w:hint="eastAsia"/>
        </w:rPr>
        <w:t>、</w:t>
      </w:r>
      <w:r>
        <w:rPr>
          <w:rFonts w:hint="eastAsia"/>
        </w:rPr>
        <w:t>III</w:t>
      </w:r>
    </w:p>
    <w:p w:rsidR="00C33ABC" w:rsidRDefault="00C33ABC" w:rsidP="00C33ABC">
      <w:r>
        <w:rPr>
          <w:rFonts w:hint="eastAsia"/>
        </w:rPr>
        <w:t>(17)</w:t>
      </w:r>
      <w:r>
        <w:rPr>
          <w:rFonts w:hint="eastAsia"/>
        </w:rPr>
        <w:t>、在《证券期货投资者适当性管理办法》中对于投资者分为那几种（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>I.</w:t>
      </w:r>
      <w:r>
        <w:rPr>
          <w:rFonts w:hint="eastAsia"/>
        </w:rPr>
        <w:t>一般投资者</w:t>
      </w:r>
    </w:p>
    <w:p w:rsidR="00C33ABC" w:rsidRDefault="00C33ABC" w:rsidP="00C33ABC">
      <w:r>
        <w:rPr>
          <w:rFonts w:hint="eastAsia"/>
        </w:rPr>
        <w:t>II.</w:t>
      </w:r>
      <w:r>
        <w:rPr>
          <w:rFonts w:hint="eastAsia"/>
        </w:rPr>
        <w:t>普通投资者</w:t>
      </w:r>
    </w:p>
    <w:p w:rsidR="00C33ABC" w:rsidRDefault="00C33ABC" w:rsidP="00C33ABC">
      <w:r>
        <w:rPr>
          <w:rFonts w:hint="eastAsia"/>
        </w:rPr>
        <w:t>III.</w:t>
      </w:r>
      <w:r>
        <w:rPr>
          <w:rFonts w:hint="eastAsia"/>
        </w:rPr>
        <w:t>专业投资者</w:t>
      </w:r>
    </w:p>
    <w:p w:rsidR="00C33ABC" w:rsidRDefault="00C33ABC" w:rsidP="00C33ABC">
      <w:r>
        <w:rPr>
          <w:rFonts w:hint="eastAsia"/>
        </w:rPr>
        <w:t>IV.</w:t>
      </w:r>
      <w:r>
        <w:rPr>
          <w:rFonts w:hint="eastAsia"/>
        </w:rPr>
        <w:t>合格投资者</w:t>
      </w:r>
    </w:p>
    <w:p w:rsidR="00C33ABC" w:rsidRDefault="00C33ABC" w:rsidP="00C33ABC">
      <w:r>
        <w:rPr>
          <w:rFonts w:hint="eastAsia"/>
        </w:rPr>
        <w:t xml:space="preserve"> A II</w:t>
      </w:r>
      <w:r>
        <w:rPr>
          <w:rFonts w:hint="eastAsia"/>
        </w:rPr>
        <w:t>、</w:t>
      </w:r>
      <w:r>
        <w:rPr>
          <w:rFonts w:hint="eastAsia"/>
        </w:rPr>
        <w:t>III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t xml:space="preserve"> B I</w:t>
      </w:r>
      <w:r>
        <w:rPr>
          <w:rFonts w:hint="eastAsia"/>
        </w:rPr>
        <w:t>、</w:t>
      </w:r>
      <w:r>
        <w:rPr>
          <w:rFonts w:hint="eastAsia"/>
        </w:rPr>
        <w:t>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t xml:space="preserve"> C II</w:t>
      </w:r>
      <w:r>
        <w:rPr>
          <w:rFonts w:hint="eastAsia"/>
        </w:rPr>
        <w:t>、</w:t>
      </w:r>
      <w:r>
        <w:rPr>
          <w:rFonts w:hint="eastAsia"/>
        </w:rPr>
        <w:t>III</w:t>
      </w:r>
    </w:p>
    <w:p w:rsidR="00C33ABC" w:rsidRDefault="00C33ABC" w:rsidP="00C33ABC">
      <w:r>
        <w:rPr>
          <w:rFonts w:hint="eastAsia"/>
        </w:rPr>
        <w:t xml:space="preserve"> D I</w:t>
      </w:r>
      <w:r>
        <w:rPr>
          <w:rFonts w:hint="eastAsia"/>
        </w:rPr>
        <w:t>、</w:t>
      </w:r>
      <w:r>
        <w:rPr>
          <w:rFonts w:hint="eastAsia"/>
        </w:rPr>
        <w:t>II</w:t>
      </w:r>
      <w:r>
        <w:rPr>
          <w:rFonts w:hint="eastAsia"/>
        </w:rPr>
        <w:t>、</w:t>
      </w:r>
      <w:r>
        <w:rPr>
          <w:rFonts w:hint="eastAsia"/>
        </w:rPr>
        <w:t>III</w:t>
      </w:r>
      <w:r>
        <w:rPr>
          <w:rFonts w:hint="eastAsia"/>
        </w:rPr>
        <w:t>、</w:t>
      </w:r>
      <w:r>
        <w:rPr>
          <w:rFonts w:hint="eastAsia"/>
        </w:rPr>
        <w:t>IV</w:t>
      </w:r>
    </w:p>
    <w:p w:rsidR="00C33ABC" w:rsidRDefault="00C33ABC" w:rsidP="00C33ABC">
      <w:r>
        <w:rPr>
          <w:rFonts w:hint="eastAsia"/>
        </w:rPr>
        <w:lastRenderedPageBreak/>
        <w:t>(18)</w:t>
      </w:r>
      <w:r>
        <w:rPr>
          <w:rFonts w:hint="eastAsia"/>
        </w:rPr>
        <w:t>、专业投资者对自然人金融资产的要求是（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金融资产不低于</w:t>
      </w:r>
      <w:r>
        <w:rPr>
          <w:rFonts w:hint="eastAsia"/>
        </w:rPr>
        <w:t xml:space="preserve">300 </w:t>
      </w:r>
      <w:r>
        <w:rPr>
          <w:rFonts w:hint="eastAsia"/>
        </w:rPr>
        <w:t>万元，或者最近</w:t>
      </w:r>
      <w:r>
        <w:rPr>
          <w:rFonts w:hint="eastAsia"/>
        </w:rPr>
        <w:t xml:space="preserve">3 </w:t>
      </w:r>
      <w:r>
        <w:rPr>
          <w:rFonts w:hint="eastAsia"/>
        </w:rPr>
        <w:t>年个人年均收入不低于</w:t>
      </w:r>
      <w:r>
        <w:rPr>
          <w:rFonts w:hint="eastAsia"/>
        </w:rPr>
        <w:t xml:space="preserve">30 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金融资产不低于</w:t>
      </w:r>
      <w:r>
        <w:rPr>
          <w:rFonts w:hint="eastAsia"/>
        </w:rPr>
        <w:t xml:space="preserve">300 </w:t>
      </w:r>
      <w:r>
        <w:rPr>
          <w:rFonts w:hint="eastAsia"/>
        </w:rPr>
        <w:t>万元，或者最近</w:t>
      </w:r>
      <w:r>
        <w:rPr>
          <w:rFonts w:hint="eastAsia"/>
        </w:rPr>
        <w:t xml:space="preserve">3 </w:t>
      </w:r>
      <w:r>
        <w:rPr>
          <w:rFonts w:hint="eastAsia"/>
        </w:rPr>
        <w:t>年个人年均收入不低于</w:t>
      </w:r>
      <w:r>
        <w:rPr>
          <w:rFonts w:hint="eastAsia"/>
        </w:rPr>
        <w:t xml:space="preserve">50 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金融资产不低于</w:t>
      </w:r>
      <w:r>
        <w:rPr>
          <w:rFonts w:hint="eastAsia"/>
        </w:rPr>
        <w:t xml:space="preserve">500 </w:t>
      </w:r>
      <w:r>
        <w:rPr>
          <w:rFonts w:hint="eastAsia"/>
        </w:rPr>
        <w:t>万元，或者最近</w:t>
      </w:r>
      <w:r>
        <w:rPr>
          <w:rFonts w:hint="eastAsia"/>
        </w:rPr>
        <w:t xml:space="preserve">3 </w:t>
      </w:r>
      <w:r>
        <w:rPr>
          <w:rFonts w:hint="eastAsia"/>
        </w:rPr>
        <w:t>年个人年均收入不低于</w:t>
      </w:r>
      <w:r>
        <w:rPr>
          <w:rFonts w:hint="eastAsia"/>
        </w:rPr>
        <w:t xml:space="preserve">30 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金融资产不低于</w:t>
      </w:r>
      <w:r>
        <w:rPr>
          <w:rFonts w:hint="eastAsia"/>
        </w:rPr>
        <w:t xml:space="preserve">500 </w:t>
      </w:r>
      <w:r>
        <w:rPr>
          <w:rFonts w:hint="eastAsia"/>
        </w:rPr>
        <w:t>万元，或者最近</w:t>
      </w:r>
      <w:r>
        <w:rPr>
          <w:rFonts w:hint="eastAsia"/>
        </w:rPr>
        <w:t xml:space="preserve">3 </w:t>
      </w:r>
      <w:r>
        <w:rPr>
          <w:rFonts w:hint="eastAsia"/>
        </w:rPr>
        <w:t>年个人年均收入不低于</w:t>
      </w:r>
      <w:r>
        <w:rPr>
          <w:rFonts w:hint="eastAsia"/>
        </w:rPr>
        <w:t xml:space="preserve">50 </w:t>
      </w:r>
      <w:r>
        <w:rPr>
          <w:rFonts w:hint="eastAsia"/>
        </w:rPr>
        <w:t>万元</w:t>
      </w:r>
    </w:p>
    <w:p w:rsidR="00C33ABC" w:rsidRDefault="00C33ABC" w:rsidP="00C33ABC">
      <w:r>
        <w:rPr>
          <w:rFonts w:hint="eastAsia"/>
        </w:rPr>
        <w:t>(19)</w:t>
      </w:r>
      <w:r>
        <w:rPr>
          <w:rFonts w:hint="eastAsia"/>
        </w:rPr>
        <w:t>、对于单只基金的投资者人数限制，说法错误的是（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契约型股权投资基金，投资者人数不得超过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采取有限责任公司形式的股权投资基金，投资者人数不得超过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采取股份有限公司形式的股权投资基金，投资这人数不得超过</w:t>
      </w:r>
      <w:r>
        <w:rPr>
          <w:rFonts w:hint="eastAsia"/>
        </w:rPr>
        <w:t>200</w:t>
      </w:r>
      <w:r>
        <w:rPr>
          <w:rFonts w:hint="eastAsia"/>
        </w:rPr>
        <w:t>人</w:t>
      </w:r>
    </w:p>
    <w:p w:rsid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合伙型股权投资基金，投资者人数不得超过</w:t>
      </w:r>
      <w:r>
        <w:rPr>
          <w:rFonts w:hint="eastAsia"/>
        </w:rPr>
        <w:t>50</w:t>
      </w:r>
      <w:r>
        <w:rPr>
          <w:rFonts w:hint="eastAsia"/>
        </w:rPr>
        <w:t>人（含普通合伙人）</w:t>
      </w:r>
    </w:p>
    <w:p w:rsidR="00C33ABC" w:rsidRDefault="00C33ABC" w:rsidP="00C33ABC">
      <w:r>
        <w:rPr>
          <w:rFonts w:hint="eastAsia"/>
        </w:rPr>
        <w:t>(20)</w:t>
      </w:r>
      <w:r>
        <w:rPr>
          <w:rFonts w:hint="eastAsia"/>
        </w:rPr>
        <w:t>、基金管理人、基金销售机构宣传推介方式说法正确的是（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C33ABC" w:rsidRDefault="00C33ABC" w:rsidP="00C33ABC">
      <w:r>
        <w:rPr>
          <w:rFonts w:hint="eastAsia"/>
        </w:rPr>
        <w:t xml:space="preserve"> A </w:t>
      </w:r>
      <w:r>
        <w:rPr>
          <w:rFonts w:hint="eastAsia"/>
        </w:rPr>
        <w:t>可以通过发送手机短信、微信、博客和电子邮件宣传推介</w:t>
      </w:r>
    </w:p>
    <w:p w:rsidR="00C33ABC" w:rsidRDefault="00C33ABC" w:rsidP="00C33ABC">
      <w:r>
        <w:rPr>
          <w:rFonts w:hint="eastAsia"/>
        </w:rPr>
        <w:t xml:space="preserve"> B </w:t>
      </w:r>
      <w:r>
        <w:rPr>
          <w:rFonts w:hint="eastAsia"/>
        </w:rPr>
        <w:t>可以通过报刊、电台、电视、互联网等公众传播媒体宣传推介</w:t>
      </w:r>
    </w:p>
    <w:p w:rsidR="00C33ABC" w:rsidRDefault="00C33ABC" w:rsidP="00C33ABC">
      <w:r>
        <w:rPr>
          <w:rFonts w:hint="eastAsia"/>
        </w:rPr>
        <w:t xml:space="preserve"> C </w:t>
      </w:r>
      <w:r>
        <w:rPr>
          <w:rFonts w:hint="eastAsia"/>
        </w:rPr>
        <w:t>可以通过讲座、报告会、分析会和张贴布告、散发传单宣传推介</w:t>
      </w:r>
    </w:p>
    <w:p w:rsidR="006924A3" w:rsidRPr="00C33ABC" w:rsidRDefault="00C33ABC" w:rsidP="00C33ABC">
      <w:r>
        <w:rPr>
          <w:rFonts w:hint="eastAsia"/>
        </w:rPr>
        <w:t xml:space="preserve"> D </w:t>
      </w:r>
      <w:r>
        <w:rPr>
          <w:rFonts w:hint="eastAsia"/>
        </w:rPr>
        <w:t>不得向合格投资者之外的单位和个人募集资金</w:t>
      </w:r>
    </w:p>
    <w:sectPr w:rsidR="006924A3" w:rsidRPr="00C33ABC" w:rsidSect="00C33A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B2" w:rsidRDefault="006A1FB2" w:rsidP="00711BF9">
      <w:r>
        <w:separator/>
      </w:r>
    </w:p>
  </w:endnote>
  <w:endnote w:type="continuationSeparator" w:id="1">
    <w:p w:rsidR="006A1FB2" w:rsidRDefault="006A1FB2" w:rsidP="0071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B2" w:rsidRDefault="006A1FB2" w:rsidP="00711BF9">
      <w:r>
        <w:separator/>
      </w:r>
    </w:p>
  </w:footnote>
  <w:footnote w:type="continuationSeparator" w:id="1">
    <w:p w:rsidR="006A1FB2" w:rsidRDefault="006A1FB2" w:rsidP="00711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BF9"/>
    <w:rsid w:val="000B217A"/>
    <w:rsid w:val="002F3301"/>
    <w:rsid w:val="006924A3"/>
    <w:rsid w:val="006A1FB2"/>
    <w:rsid w:val="00711BF9"/>
    <w:rsid w:val="00C3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BF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1B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1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2017-10-30T05:53:00Z</dcterms:created>
  <dcterms:modified xsi:type="dcterms:W3CDTF">2017-10-30T06:00:00Z</dcterms:modified>
</cp:coreProperties>
</file>